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0" w:right="0" w:hanging="0"/>
        <w:jc w:val="center"/>
        <w:rPr>
          <w:rFonts w:ascii="Cambria" w:hAnsi="Cambria" w:cs="Cambria"/>
          <w:b/>
          <w:b/>
        </w:rPr>
      </w:pPr>
      <w:r>
        <w:rPr>
          <w:rFonts w:cs="Cambria" w:ascii="Cambria" w:hAnsi="Cambria"/>
          <w:b/>
          <w:i/>
          <w:sz w:val="28"/>
          <w:szCs w:val="28"/>
        </w:rPr>
        <w:t xml:space="preserve">Stowarzyszenie Wiedza i Rozwój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mbria" w:hAnsi="Cambria" w:eastAsia="Calibri" w:cs="Cambria"/>
          <w:b/>
          <w:b/>
        </w:rPr>
      </w:pPr>
      <w:r>
        <w:rPr>
          <w:rFonts w:cs="Cambria" w:ascii="Cambria" w:hAnsi="Cambria"/>
          <w:b/>
        </w:rPr>
        <w:t>realizuje projekt</w:t>
      </w:r>
      <w:r>
        <w:rPr>
          <w:rFonts w:cs="Cambria" w:ascii="Cambria" w:hAnsi="Cambria"/>
        </w:rPr>
        <w:t xml:space="preserve">  </w:t>
      </w:r>
      <w:r>
        <w:rPr>
          <w:rFonts w:eastAsia="Calibri" w:cs="Cambria" w:ascii="Cambria" w:hAnsi="Cambria"/>
          <w:b/>
        </w:rPr>
        <w:t>współfinansowany przez Unię Europejską w ramach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mbria" w:hAnsi="Cambria" w:eastAsia="Calibri" w:cs="Cambria"/>
          <w:b/>
          <w:b/>
          <w:sz w:val="24"/>
          <w:szCs w:val="24"/>
        </w:rPr>
      </w:pPr>
      <w:r>
        <w:rPr>
          <w:rFonts w:eastAsia="Calibri" w:cs="Cambria" w:ascii="Cambria" w:hAnsi="Cambria"/>
          <w:b/>
        </w:rPr>
        <w:t>Europejskiego Funduszu Społecznego pod nazwą: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Cambria" w:hAnsi="Cambria" w:eastAsia="Calibri" w:cs="Cambria"/>
          <w:b/>
          <w:b/>
          <w:sz w:val="24"/>
          <w:szCs w:val="24"/>
        </w:rPr>
      </w:pPr>
      <w:r>
        <w:rPr>
          <w:rFonts w:eastAsia="Calibri" w:cs="Cambria" w:ascii="Cambria" w:hAnsi="Cambri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cs="Cambria"/>
          <w:b/>
          <w:b/>
          <w:i/>
          <w:i/>
          <w:color w:val="548DD4"/>
          <w:sz w:val="40"/>
          <w:szCs w:val="40"/>
        </w:rPr>
      </w:pPr>
      <w:r>
        <w:rPr>
          <w:rFonts w:cs="Cambria" w:ascii="Cambria" w:hAnsi="Cambria"/>
          <w:b/>
          <w:i/>
          <w:color w:val="FFC000"/>
          <w:sz w:val="40"/>
          <w:szCs w:val="40"/>
        </w:rPr>
        <w:t>„</w:t>
      </w:r>
      <w:r>
        <w:rPr>
          <w:rFonts w:cs="Cambria" w:ascii="Cambria" w:hAnsi="Cambria"/>
          <w:b/>
          <w:i/>
          <w:color w:val="FFC000"/>
          <w:sz w:val="40"/>
          <w:szCs w:val="40"/>
        </w:rPr>
        <w:t>Kompetencje na +”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eastAsia="Cambria" w:cs="Cambria" w:ascii="Cambria" w:hAnsi="Cambria"/>
          <w:b/>
          <w:i/>
          <w:color w:val="548DD4"/>
          <w:sz w:val="40"/>
          <w:szCs w:val="40"/>
        </w:rPr>
        <w:t xml:space="preserve">         </w:t>
      </w:r>
      <w:r>
        <w:rPr>
          <w:rFonts w:cs="Cambria" w:ascii="Cambria" w:hAnsi="Cambria"/>
          <w:b/>
          <w:i/>
          <w:sz w:val="28"/>
          <w:szCs w:val="28"/>
        </w:rPr>
        <w:t>w Szkole Podstawowej im. Wojska Polskiego w Mroczkowie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Nr umowy RPSW.08.03.</w:t>
      </w:r>
      <w:r>
        <w:rPr>
          <w:rFonts w:cs="Times New Roman" w:ascii="Times New Roman" w:hAnsi="Times New Roman"/>
          <w:sz w:val="16"/>
          <w:szCs w:val="16"/>
        </w:rPr>
        <w:t>02-26-0013/18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w ramach Osi priorytetowej 08.00.00 Rozwój edukacji i aktywne społeczeństwo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Działania 08.03.00 Zwiększenie dostępu do wysokiej jakości edukacji przedszkolnej oraz kształcenia podstawowego, gimnazjalnego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  <w:t xml:space="preserve"> </w:t>
      </w:r>
      <w:r>
        <w:rPr>
          <w:rFonts w:cs="Times New Roman" w:ascii="Times New Roman" w:hAnsi="Times New Roman"/>
          <w:color w:val="000000"/>
          <w:sz w:val="16"/>
          <w:szCs w:val="16"/>
        </w:rPr>
        <w:t>i ponadgimnazjalnego. Poddziałanie 08.03.02  Wsparcie kształcenia podstawowego w zakresie kompetencji kluczowych</w:t>
        <w:br/>
      </w:r>
      <w:r>
        <w:rPr>
          <w:rFonts w:cs="Times New Roman" w:ascii="Times New Roman" w:hAnsi="Times New Roman"/>
          <w:bCs/>
          <w:color w:val="000000"/>
          <w:sz w:val="16"/>
          <w:szCs w:val="16"/>
        </w:rPr>
        <w:t>w ramach Regionalnego Programu Operacyjnego Województwa Świętokrzyskiego na lata 2014 – 2020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cs="Times New Roman" w:ascii="Times New Roman" w:hAnsi="Times New Roman"/>
          <w:bCs/>
          <w:color w:val="000000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>
        <w:rPr>
          <w:rFonts w:cs="Times New Roman" w:ascii="Times New Roman" w:hAnsi="Times New Roman"/>
          <w:bCs/>
          <w:color w:val="000000"/>
          <w:sz w:val="16"/>
          <w:szCs w:val="16"/>
        </w:rPr>
      </w:r>
    </w:p>
    <w:p>
      <w:pPr>
        <w:pStyle w:val="Default"/>
        <w:numPr>
          <w:ilvl w:val="0"/>
          <w:numId w:val="3"/>
        </w:numPr>
        <w:rPr>
          <w:rFonts w:ascii="Cambria" w:hAnsi="Cambria" w:cs="Cambria"/>
          <w:color w:val="00000A"/>
          <w:sz w:val="20"/>
          <w:szCs w:val="20"/>
        </w:rPr>
      </w:pPr>
      <w:r>
        <w:rPr>
          <w:b/>
        </w:rPr>
        <w:t>W ramach projektu</w:t>
      </w:r>
      <w:r>
        <w:rPr>
          <w:sz w:val="20"/>
          <w:szCs w:val="20"/>
        </w:rPr>
        <w:t xml:space="preserve">  </w:t>
      </w:r>
      <w:r>
        <w:rPr>
          <w:b/>
        </w:rPr>
        <w:t>dla uczniów klas I – VIII odbędą się zajęcia  z :</w:t>
      </w:r>
    </w:p>
    <w:p>
      <w:pPr>
        <w:pStyle w:val="Default"/>
        <w:ind w:left="810" w:right="0" w:hanging="0"/>
        <w:rPr>
          <w:rFonts w:ascii="Cambria" w:hAnsi="Cambria" w:cs="Cambria"/>
          <w:color w:val="00000A"/>
          <w:sz w:val="20"/>
          <w:szCs w:val="20"/>
        </w:rPr>
      </w:pPr>
      <w:r>
        <w:rPr>
          <w:rFonts w:cs="Cambria" w:ascii="Cambria" w:hAnsi="Cambria"/>
          <w:color w:val="00000A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sz w:val="20"/>
          <w:szCs w:val="20"/>
        </w:rPr>
      </w:pPr>
      <w:r>
        <w:rPr>
          <w:rFonts w:cs="MyriadPro-Regular"/>
          <w:sz w:val="20"/>
          <w:szCs w:val="20"/>
        </w:rPr>
        <w:t>Informatyki – zajęcia komputerowe, których celem jest uzupełnienie i poszerzenie umiejętności wykorzystania technologii informacyjnej przez uczniów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warsztaty pierwszej pomocy dla uczniów - uczniowie  będą uczyć się jak poprawnie wezwać pomoc. Warsztaty w tym wieku pomogą oswoić się z tematem pierwszej pomocy oraz rozwijać w nich od najmłodszych lat poczucie obowiązku niesienia pierwszej pomocy innym.</w:t>
      </w:r>
    </w:p>
    <w:p>
      <w:pPr>
        <w:pStyle w:val="ListParagraph"/>
        <w:spacing w:lineRule="auto" w:line="240" w:before="0" w:after="0"/>
        <w:ind w:left="1440" w:righ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Indywidualne zajęcia Specjalistyczne: 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Logopedyczne – zajęcia dla dzieci z zaburzeniami mowy, które powodują zaburzenia komunikacji językowej oraz utrudniają naukę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Terapia pedagogiczna – podczas, której dziecko będzie z terapeutą  ćwiczyć stymulujące i usprawniające zaburzone funkcje psychomotoryczne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Korekcyjno – kompensacyjne – organizowane są dla uczniów z zaburzeniami rozwoju lub specyficznymi trudnościami w uczeniu się czy z dysleksją rozwojową</w:t>
      </w:r>
    </w:p>
    <w:p>
      <w:pPr>
        <w:pStyle w:val="ListParagraph"/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sz w:val="20"/>
          <w:szCs w:val="20"/>
        </w:rPr>
      </w:pPr>
      <w:r>
        <w:rPr>
          <w:b/>
          <w:sz w:val="24"/>
          <w:szCs w:val="24"/>
        </w:rPr>
        <w:t xml:space="preserve">Dla  uczniów klas IV - VI odbędą się zajęcia grupowe z </w:t>
      </w:r>
      <w:r>
        <w:rPr>
          <w:rFonts w:cs="Arial"/>
          <w:color w:val="333333"/>
          <w:sz w:val="20"/>
          <w:szCs w:val="20"/>
        </w:rPr>
        <w:t xml:space="preserve">doradztwa zawodowego – podczas  których  będą rozwijać umiejętności uczenia się, efektywnego zarządzania czasem. Uczeń zdobędzie wiedzę  o świecie zawodów, pozna podstawowe branże zawodowe występujące na rynku pracy oraz uzyska informację i wybranych zawodach. Natomiast </w:t>
      </w:r>
      <w:r>
        <w:rPr>
          <w:b/>
          <w:sz w:val="24"/>
          <w:szCs w:val="24"/>
        </w:rPr>
        <w:t xml:space="preserve">dla  uczniów klas VII - VIII odbędą się zajęcia indywidualne </w:t>
      </w:r>
      <w:r>
        <w:rPr>
          <w:sz w:val="20"/>
          <w:szCs w:val="20"/>
        </w:rPr>
        <w:t>z doradztwa zawodowego. Uczące odpowiedzialnego planowania ścieżki swojej kariery i trafnego podejmowania decyzji dotyczących wyboru kierunku  dalszej nauki.</w:t>
      </w:r>
    </w:p>
    <w:p>
      <w:pPr>
        <w:pStyle w:val="ListParagraph"/>
        <w:spacing w:before="0" w:after="0"/>
        <w:ind w:left="810" w:right="0" w:hanging="0"/>
        <w:contextualSpacing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cs="Calibri"/>
          <w:sz w:val="18"/>
          <w:szCs w:val="18"/>
        </w:rPr>
      </w:pPr>
      <w:r>
        <w:rPr>
          <w:rFonts w:cs="Calibri"/>
          <w:b/>
          <w:sz w:val="24"/>
          <w:szCs w:val="24"/>
        </w:rPr>
        <w:t xml:space="preserve">Nauczyciele </w:t>
      </w:r>
      <w:r>
        <w:rPr>
          <w:rFonts w:cs="Calibri"/>
          <w:sz w:val="18"/>
          <w:szCs w:val="18"/>
        </w:rPr>
        <w:t>wezmą udział w szkoleniach:  z terapii  ręki, pierwszej pomocy oraz 2 nauczycieli będzie uczęszczać na studia z doradztwa zawodowego i gimnastyki korekcyjnej.</w:t>
      </w:r>
    </w:p>
    <w:p>
      <w:pPr>
        <w:pStyle w:val="Normal"/>
        <w:spacing w:lineRule="auto" w:line="240" w:before="0"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Default"/>
        <w:numPr>
          <w:ilvl w:val="0"/>
          <w:numId w:val="3"/>
        </w:numPr>
        <w:rPr>
          <w:rFonts w:ascii="Cambria" w:hAnsi="Cambria" w:cs="Cambria"/>
          <w:color w:val="00000A"/>
          <w:sz w:val="20"/>
          <w:szCs w:val="20"/>
        </w:rPr>
      </w:pPr>
      <w:r>
        <w:rPr>
          <w:b/>
        </w:rPr>
        <w:t>W ramach projektu</w:t>
      </w:r>
      <w:r>
        <w:rPr>
          <w:sz w:val="20"/>
          <w:szCs w:val="20"/>
        </w:rPr>
        <w:t xml:space="preserve">  </w:t>
      </w:r>
      <w:r>
        <w:rPr>
          <w:b/>
        </w:rPr>
        <w:t>dla szkoły zostanie zakupiony sprzęt TIK oraz pomoce dydaktyczne.</w:t>
      </w:r>
    </w:p>
    <w:p>
      <w:pPr>
        <w:pStyle w:val="Default"/>
        <w:ind w:left="810" w:right="0" w:hanging="0"/>
        <w:rPr>
          <w:rFonts w:ascii="Cambria" w:hAnsi="Cambria" w:cs="Cambria"/>
          <w:color w:val="00000A"/>
          <w:sz w:val="20"/>
          <w:szCs w:val="20"/>
        </w:rPr>
      </w:pPr>
      <w:r>
        <w:rPr>
          <w:rFonts w:cs="Cambria" w:ascii="Cambria" w:hAnsi="Cambria"/>
          <w:color w:val="00000A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Cambria" w:hAnsi="Cambria" w:cs="Calibri"/>
          <w:color w:val="00000A"/>
          <w:sz w:val="18"/>
          <w:szCs w:val="18"/>
        </w:rPr>
      </w:pPr>
      <w:r>
        <w:rPr>
          <w:rFonts w:cs="Calibri" w:ascii="Cambria" w:hAnsi="Cambria"/>
          <w:color w:val="00000A"/>
          <w:sz w:val="18"/>
          <w:szCs w:val="18"/>
        </w:rPr>
      </w:r>
    </w:p>
    <w:p>
      <w:pPr>
        <w:pStyle w:val="Normal"/>
        <w:spacing w:lineRule="auto" w:line="240" w:before="0"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spacing w:lineRule="auto" w:line="240" w:before="0"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vanish/>
        </w:rPr>
      </w:pPr>
      <w:r>
        <w:rPr>
          <w:color w:val="0070C0"/>
          <w:sz w:val="18"/>
          <w:szCs w:val="18"/>
        </w:rPr>
        <w:t xml:space="preserve">Oświadczenia o przystąpieniu do projektu  będą dostępne w Biurze Projektu od </w:t>
      </w:r>
      <w:r>
        <w:rPr>
          <w:color w:val="FF0000"/>
          <w:sz w:val="18"/>
          <w:szCs w:val="18"/>
        </w:rPr>
        <w:t xml:space="preserve">27.08.2019 r. do 05.09.2019 r. </w:t>
      </w:r>
      <w:r>
        <w:rPr>
          <w:color w:val="0070C0"/>
          <w:sz w:val="18"/>
          <w:szCs w:val="18"/>
        </w:rPr>
        <w:br/>
        <w:t>w Szkole Podstawowej im. Wojska Polskiego w Mroczkowie</w:t>
        <w:br/>
      </w:r>
      <w:bookmarkStart w:id="2" w:name="_PictureBullets"/>
      <w:bookmarkEnd w:id="2"/>
    </w:p>
    <w:sectPr>
      <w:headerReference w:type="default" r:id="rId2"/>
      <w:footerReference w:type="default" r:id="rId3"/>
      <w:type w:val="nextPage"/>
      <w:pgSz w:w="11906" w:h="16838"/>
      <w:pgMar w:left="1417" w:right="1417" w:header="142" w:top="1417" w:footer="708" w:bottom="141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default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Fonts w:ascii="Tahoma" w:hAnsi="Tahoma" w:eastAsia="Calibri" w:cs="Tahoma"/>
        <w:sz w:val="16"/>
        <w:szCs w:val="16"/>
      </w:rPr>
    </w:pPr>
    <w:r>
      <w:rPr>
        <w:rFonts w:eastAsia="Calibri" w:cs="Tahoma" w:ascii="Tahoma" w:hAnsi="Tahoma"/>
        <w:bCs/>
        <w:sz w:val="16"/>
        <w:szCs w:val="16"/>
      </w:rPr>
      <w:t>Projekt „</w:t>
    </w:r>
    <w:r>
      <w:rPr>
        <w:rFonts w:eastAsia="Calibri" w:cs="Tahoma" w:ascii="Tahoma" w:hAnsi="Tahoma"/>
        <w:sz w:val="16"/>
        <w:szCs w:val="16"/>
      </w:rPr>
      <w:t>Kompetencje na +” realizowany przez</w:t>
    </w:r>
    <w:r>
      <w:rPr>
        <w:rFonts w:eastAsia="Calibri" w:cs="Tahoma" w:ascii="Tahoma" w:hAnsi="Tahoma"/>
        <w:b/>
        <w:bCs/>
        <w:sz w:val="16"/>
        <w:szCs w:val="16"/>
      </w:rPr>
      <w:t xml:space="preserve"> </w:t>
    </w:r>
    <w:r>
      <w:rPr>
        <w:rFonts w:eastAsia="Calibri" w:cs="Tahoma" w:ascii="Tahoma" w:hAnsi="Tahoma"/>
        <w:sz w:val="16"/>
        <w:szCs w:val="16"/>
      </w:rPr>
      <w:t xml:space="preserve"> Stowarzyszenie Wiedza i Rozwój,</w:t>
    </w:r>
  </w:p>
  <w:p>
    <w:pPr>
      <w:pStyle w:val="Normal"/>
      <w:spacing w:lineRule="auto" w:line="240" w:before="0" w:after="0"/>
      <w:jc w:val="center"/>
      <w:rPr>
        <w:rFonts w:ascii="Tahoma" w:hAnsi="Tahoma" w:eastAsia="Calibri" w:cs="Tahoma"/>
        <w:sz w:val="16"/>
        <w:szCs w:val="16"/>
      </w:rPr>
    </w:pPr>
    <w:r>
      <w:rPr>
        <w:rFonts w:eastAsia="Tahoma" w:cs="Tahoma" w:ascii="Tahoma" w:hAnsi="Tahoma"/>
        <w:sz w:val="16"/>
        <w:szCs w:val="16"/>
      </w:rPr>
      <w:t xml:space="preserve"> </w:t>
    </w:r>
    <w:r>
      <w:rPr>
        <w:rFonts w:eastAsia="Calibri" w:cs="Tahoma" w:ascii="Tahoma" w:hAnsi="Tahoma"/>
        <w:sz w:val="16"/>
        <w:szCs w:val="16"/>
      </w:rPr>
      <w:t>współfinansowany przez Unię Europejską w ramach Europejskiego Funduszu Społecznego</w:t>
    </w:r>
  </w:p>
  <w:p>
    <w:pPr>
      <w:pStyle w:val="Normal"/>
      <w:spacing w:lineRule="auto" w:line="240" w:before="0" w:after="0"/>
      <w:jc w:val="center"/>
      <w:rPr>
        <w:rFonts w:ascii="Tahoma" w:hAnsi="Tahoma" w:eastAsia="Calibri" w:cs="Tahoma"/>
        <w:sz w:val="16"/>
        <w:szCs w:val="16"/>
      </w:rPr>
    </w:pPr>
    <w:r>
      <w:rPr>
        <w:rFonts w:eastAsia="Calibri" w:cs="Tahoma" w:ascii="Tahoma" w:hAnsi="Tahoma"/>
        <w:sz w:val="16"/>
        <w:szCs w:val="16"/>
      </w:rPr>
      <w:t>Regionalny Program Operacyjny Województwa Świętokrzyskiego na lata 2014-2020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ind w:left="0" w:right="0" w:hanging="0"/>
      <w:rPr>
        <w:rFonts w:eastAsia="Calibri" w:cs="Times New Roman"/>
      </w:rPr>
    </w:pPr>
    <w:r>
      <w:rPr>
        <w:rFonts w:eastAsia="Calibri" w:cs="Calibri"/>
      </w:rPr>
      <w:t xml:space="preserve">   </w:t>
    </w:r>
  </w:p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ind w:left="0" w:right="0" w:hanging="0"/>
      <w:rPr>
        <w:rFonts w:eastAsia="Calibri" w:cs="Times New Roman"/>
      </w:rPr>
    </w:pPr>
    <w:r>
      <w:rPr>
        <w:rFonts w:eastAsia="Calibri" w:cs="Times New Roman"/>
      </w:rPr>
    </w:r>
  </w:p>
  <w:tbl>
    <w:tblPr>
      <w:tblW w:w="8980" w:type="dxa"/>
      <w:jc w:val="left"/>
      <w:tblInd w:w="-1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1814"/>
      <w:gridCol w:w="2534"/>
      <w:gridCol w:w="1965"/>
      <w:gridCol w:w="2667"/>
    </w:tblGrid>
    <w:tr>
      <w:trPr/>
      <w:tc>
        <w:tcPr>
          <w:tcW w:w="1814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both"/>
            <w:rPr/>
          </w:pPr>
          <w:r>
            <w:rPr/>
            <w:drawing>
              <wp:inline distT="0" distB="0" distL="0" distR="0">
                <wp:extent cx="1028065" cy="43751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35" t="-82" r="-35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06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4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center"/>
            <w:rPr/>
          </w:pPr>
          <w:r>
            <w:rPr/>
            <w:drawing>
              <wp:inline distT="0" distB="0" distL="0" distR="0">
                <wp:extent cx="1409700" cy="437515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25" t="-82" r="-25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  <w:tcBorders/>
          <w:shd w:fill="auto" w:val="clear"/>
        </w:tcPr>
        <w:p>
          <w:pPr>
            <w:pStyle w:val="Normal"/>
            <w:spacing w:lineRule="auto" w:line="240" w:before="0" w:after="0"/>
            <w:ind w:left="0" w:right="47" w:hanging="0"/>
            <w:jc w:val="center"/>
            <w:rPr/>
          </w:pPr>
          <w:r>
            <w:rPr/>
            <w:drawing>
              <wp:inline distT="0" distB="0" distL="0" distR="0">
                <wp:extent cx="962025" cy="43751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37" t="-82" r="-37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7" w:type="dxa"/>
          <w:tcBorders/>
          <w:shd w:fill="auto" w:val="clear"/>
        </w:tcPr>
        <w:p>
          <w:pPr>
            <w:pStyle w:val="Normal"/>
            <w:spacing w:lineRule="auto" w:line="240" w:before="0" w:after="0"/>
            <w:jc w:val="right"/>
            <w:rPr/>
          </w:pPr>
          <w:r>
            <w:rPr/>
            <w:drawing>
              <wp:inline distT="0" distB="0" distL="0" distR="0">
                <wp:extent cx="1629410" cy="437515"/>
                <wp:effectExtent l="0" t="0" r="0" b="0"/>
                <wp:docPr id="4" name="Obraz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 l="-22" t="-82" r="-22" b="-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9410" cy="437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left" w:pos="6930" w:leader="none"/>
        <w:tab w:val="left" w:pos="7680" w:leader="none"/>
      </w:tabs>
      <w:spacing w:lineRule="auto" w:line="240" w:before="0" w:after="0"/>
      <w:rPr>
        <w:rFonts w:eastAsia="Calibri" w:cs="Times New Roman"/>
      </w:rPr>
    </w:pPr>
    <w:r>
      <w:rPr>
        <w:rFonts w:eastAsia="Calibri" w:cs="Times New Roman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vanish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vanish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vanish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vanish/>
        <w:rFonts w:cs="Wingdings"/>
      </w:rPr>
    </w:lvl>
  </w:abstractNum>
  <w:abstractNum w:abstractNumId="2"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  <w:sz w:val="18"/>
        <w:szCs w:val="18"/>
        <w:rFonts w:cs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  <w:sz w:val="18"/>
        <w:szCs w:val="18"/>
        <w:rFonts w:cs="Wingdings"/>
      </w:rPr>
    </w:lvl>
  </w:abstractNum>
  <w:abstractNum w:abstractNumId="3">
    <w:lvl w:ilvl="0">
      <w:start w:val="1"/>
      <w:numFmt w:val="bullet"/>
      <w:lvlText w:val=""/>
      <w:lvlJc w:val="left"/>
      <w:pPr>
        <w:ind w:left="810" w:hanging="360"/>
      </w:pPr>
      <w:rPr>
        <w:rFonts w:ascii="Wingdings" w:hAnsi="Wingdings" w:cs="Wingdings" w:hint="default"/>
        <w:sz w:val="20"/>
        <w:szCs w:val="20"/>
        <w:rFonts w:cs="Wingdings"/>
        <w:color w:val="00000A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  <w:sz w:val="20"/>
        <w:szCs w:val="20"/>
        <w:rFonts w:cs="Wingdings"/>
        <w:color w:val="00000A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  <w:sz w:val="20"/>
        <w:szCs w:val="20"/>
        <w:rFonts w:cs="Wingdings"/>
        <w:color w:val="00000A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  <w:sz w:val="20"/>
        <w:szCs w:val="20"/>
        <w:rFonts w:cs="Wingdings"/>
        <w:color w:val="00000A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szCs w:val="20"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  <w:szCs w:val="20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  <w:szCs w:val="20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</w:rPr>
  </w:style>
  <w:style w:type="character" w:styleId="WW8Num1z0">
    <w:name w:val="WW8Num1z0"/>
    <w:qFormat/>
    <w:rPr>
      <w:rFonts w:ascii="Wingdings" w:hAnsi="Wingdings" w:cs="Wingdings"/>
      <w:vanish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Wingdings" w:hAnsi="Wingdings" w:cs="Wingdings"/>
      <w:sz w:val="18"/>
      <w:szCs w:val="1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A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  <w:sz w:val="20"/>
      <w:szCs w:val="2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character" w:styleId="ListLabel1">
    <w:name w:val="ListLabel 1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/>
      <w:color w:val="auto"/>
      <w:kern w:val="2"/>
      <w:sz w:val="22"/>
      <w:szCs w:val="22"/>
      <w:lang w:val="pl-PL" w:eastAsia="en-US" w:bidi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2"/>
      <w:sz w:val="24"/>
      <w:szCs w:val="24"/>
      <w:lang w:val="pl-PL" w:eastAsia="en-US" w:bidi="ar-SA"/>
    </w:rPr>
  </w:style>
  <w:style w:type="paragraph" w:styleId="Endnotetext">
    <w:name w:val="endnote text"/>
    <w:basedOn w:val="Normal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0" w:after="15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2</Pages>
  <Words>363</Words>
  <Characters>2422</Characters>
  <CharactersWithSpaces>2795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2019-09-13T12:31:00Z</dcterms:created>
  <dc:creator>admin</dc:creator>
  <dc:description/>
  <dc:language>pl-PL</dc:language>
  <cp:lastModifiedBy/>
  <dcterms:modified xsi:type="dcterms:W3CDTF">2019-09-17T07:01:29Z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