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cs="Cambria"/>
          <w:b/>
          <w:b/>
          <w:i/>
          <w:i/>
          <w:sz w:val="28"/>
          <w:szCs w:val="28"/>
        </w:rPr>
      </w:pPr>
      <w:r>
        <w:rPr>
          <w:rFonts w:cs="Cambria" w:ascii="Cambria" w:hAnsi="Cambria"/>
          <w:b/>
          <w:i/>
          <w:sz w:val="28"/>
          <w:szCs w:val="28"/>
        </w:rPr>
        <w:t xml:space="preserve">Stowarzyszenie Wiedza i Rozwój 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Cambria" w:ascii="Cambria" w:hAnsi="Cambria"/>
          <w:b/>
        </w:rPr>
        <w:t>realizuje projekt</w:t>
      </w:r>
      <w:r>
        <w:rPr>
          <w:rFonts w:cs="Cambria" w:ascii="Cambria" w:hAnsi="Cambria"/>
        </w:rPr>
        <w:t xml:space="preserve">  </w:t>
      </w:r>
      <w:r>
        <w:rPr>
          <w:rFonts w:eastAsia="Calibri" w:cs="Cambria" w:ascii="Cambria" w:hAnsi="Cambria"/>
          <w:b/>
        </w:rPr>
        <w:t>współfinansowany przez Unię Europejską w ramach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eastAsia="Calibri" w:cs="Cambria"/>
          <w:b/>
          <w:b/>
        </w:rPr>
      </w:pPr>
      <w:r>
        <w:rPr>
          <w:rFonts w:eastAsia="Calibri" w:cs="Cambria" w:ascii="Cambria" w:hAnsi="Cambria"/>
          <w:b/>
        </w:rPr>
        <w:t>Europejskiego Funduszu Społecznego pod nazwą: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eastAsia="Calibri" w:cs="Cambria"/>
          <w:b/>
          <w:b/>
          <w:sz w:val="24"/>
          <w:szCs w:val="24"/>
        </w:rPr>
      </w:pPr>
      <w:r>
        <w:rPr>
          <w:rFonts w:eastAsia="Calibri" w:cs="Cambria"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mbria" w:cs="Cambria" w:ascii="Cambria" w:hAnsi="Cambria"/>
          <w:b/>
          <w:i/>
          <w:color w:val="548DD4"/>
          <w:sz w:val="40"/>
          <w:szCs w:val="40"/>
        </w:rPr>
        <w:t>„</w:t>
      </w:r>
      <w:r>
        <w:rPr>
          <w:rFonts w:cs="Cambria" w:ascii="Cambria" w:hAnsi="Cambria"/>
          <w:b/>
          <w:i/>
          <w:color w:val="548DD4"/>
          <w:sz w:val="40"/>
          <w:szCs w:val="40"/>
        </w:rPr>
        <w:t>Kompetencje kluczowe w teorii i praktyce”</w:t>
      </w:r>
    </w:p>
    <w:p>
      <w:pPr>
        <w:pStyle w:val="Normal"/>
        <w:spacing w:lineRule="auto" w:line="240" w:before="0" w:after="0"/>
        <w:rPr/>
      </w:pPr>
      <w:r>
        <w:rPr>
          <w:rFonts w:eastAsia="Cambria" w:cs="Cambria" w:ascii="Cambria" w:hAnsi="Cambria"/>
          <w:b/>
          <w:i/>
          <w:color w:val="548DD4"/>
          <w:sz w:val="40"/>
          <w:szCs w:val="40"/>
        </w:rPr>
        <w:t xml:space="preserve">         </w:t>
      </w:r>
      <w:r>
        <w:rPr>
          <w:rFonts w:cs="Cambria" w:ascii="Cambria" w:hAnsi="Cambria"/>
          <w:b/>
          <w:i/>
          <w:sz w:val="28"/>
          <w:szCs w:val="28"/>
        </w:rPr>
        <w:t>w Szkole Podstawowej im. Wojska Polskiego w Mroczkowie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Nr umowy RPSW.08.03.</w:t>
      </w:r>
      <w:r>
        <w:rPr>
          <w:rFonts w:cs="Cambria" w:ascii="Cambria" w:hAnsi="Cambria"/>
          <w:b/>
          <w:bCs/>
          <w:sz w:val="24"/>
          <w:szCs w:val="24"/>
        </w:rPr>
        <w:t>02-26-0028/17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color w:val="000000"/>
          <w:sz w:val="18"/>
          <w:szCs w:val="18"/>
        </w:rPr>
      </w:pPr>
      <w:r>
        <w:rPr>
          <w:rFonts w:cs="Cambria" w:ascii="Cambria" w:hAnsi="Cambria"/>
          <w:color w:val="000000"/>
          <w:sz w:val="18"/>
          <w:szCs w:val="18"/>
        </w:rPr>
        <w:t>w ramach Osi priorytetowej 08.00.00 Rozwój edukacji i aktywne społeczeństwo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color w:val="000000"/>
          <w:sz w:val="18"/>
          <w:szCs w:val="18"/>
        </w:rPr>
        <w:t>Działania 08.03.00 Zwiększenie dostępu do wysokiej jakości edukacji przedszkolnej oraz kształcenia podstawowego, gimnazjalnego</w:t>
      </w:r>
      <w:r>
        <w:rPr>
          <w:rFonts w:eastAsia="Times New Roman" w:cs="Cambria" w:ascii="Cambria" w:hAnsi="Cambria"/>
          <w:color w:val="000000"/>
          <w:sz w:val="18"/>
          <w:szCs w:val="18"/>
        </w:rPr>
        <w:t xml:space="preserve"> </w:t>
      </w:r>
      <w:r>
        <w:rPr>
          <w:rFonts w:cs="Cambria" w:ascii="Cambria" w:hAnsi="Cambria"/>
          <w:color w:val="000000"/>
          <w:sz w:val="18"/>
          <w:szCs w:val="18"/>
        </w:rPr>
        <w:t xml:space="preserve">i ponadgimnazjalnego.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color w:val="000000"/>
          <w:sz w:val="18"/>
          <w:szCs w:val="18"/>
        </w:rPr>
        <w:t>Poddziałanie 08.03.02  Wsparcie kształcenia podstawowego w zakresie kompetencji kluczowych</w:t>
        <w:br/>
      </w:r>
      <w:r>
        <w:rPr>
          <w:rFonts w:cs="Cambria" w:ascii="Cambria" w:hAnsi="Cambria"/>
          <w:bCs/>
          <w:color w:val="000000"/>
          <w:sz w:val="18"/>
          <w:szCs w:val="18"/>
        </w:rPr>
        <w:t>w ramach Regionalnego Programu Operacyjnego Województwa Świętokrzyskiego na lata 2014 – 2020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w okresie 01.08.2018 – 31.07.2020 r.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color w:val="000000"/>
          <w:sz w:val="16"/>
          <w:szCs w:val="16"/>
        </w:rPr>
      </w:pPr>
      <w:r>
        <w:rPr>
          <w:rFonts w:cs="Cambria" w:ascii="Cambria" w:hAnsi="Cambria"/>
          <w:color w:val="000000"/>
          <w:sz w:val="16"/>
          <w:szCs w:val="16"/>
        </w:rPr>
      </w:r>
    </w:p>
    <w:p>
      <w:pPr>
        <w:pStyle w:val="Default"/>
        <w:numPr>
          <w:ilvl w:val="0"/>
          <w:numId w:val="3"/>
        </w:numPr>
        <w:spacing w:lineRule="auto" w:line="276"/>
        <w:rPr/>
      </w:pPr>
      <w:r>
        <w:rPr>
          <w:rFonts w:cs="Cambria" w:ascii="Cambria" w:hAnsi="Cambria"/>
          <w:b/>
          <w:sz w:val="24"/>
          <w:szCs w:val="24"/>
        </w:rPr>
        <w:t>W ramach projektu</w:t>
      </w:r>
      <w:r>
        <w:rPr>
          <w:rFonts w:cs="Cambria" w:ascii="Cambria" w:hAnsi="Cambria"/>
          <w:sz w:val="24"/>
          <w:szCs w:val="24"/>
        </w:rPr>
        <w:t xml:space="preserve">  </w:t>
      </w:r>
      <w:r>
        <w:rPr>
          <w:rFonts w:cs="Cambria" w:ascii="Cambria" w:hAnsi="Cambria"/>
          <w:b/>
          <w:sz w:val="24"/>
          <w:szCs w:val="24"/>
        </w:rPr>
        <w:t>dla uczniów klas I – VI odbędą się zajęcia  z 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matematyki – uczniowie  od  najmłodszych lat wzmacniają i doskonalą umiejętności matematyczne oraz kształtują pozytywne myślenie o matematyce, która jest częścią naszego życia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języka angielskiego i przyrody – uczniowie w ramach zajęć metodą projektu będą realizować zakres łączenia wiadomości i umiejętności z przyrody i języka angielskiego zajęcia te mają  na celu rozwijać umiejętności badawcze, myślenie kompleksowe 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/>
      </w:pPr>
      <w:r>
        <w:rPr>
          <w:rFonts w:cs="Cambria" w:ascii="Cambria" w:hAnsi="Cambria"/>
          <w:sz w:val="24"/>
          <w:szCs w:val="24"/>
        </w:rPr>
        <w:t>robotyki – uczniowie</w:t>
      </w:r>
      <w:r>
        <w:rPr>
          <w:rFonts w:cs="Cambria" w:ascii="Cambria" w:hAnsi="Cambria"/>
          <w:color w:val="666666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konstruują, budują programują i wprawiają w ruch roboty z wykorzystując zaawansowany zestaw klocków.   zajęć z robotyki to doskonała okazja do rozwinięcia kompetencji informatycznych i technicznych młodych konstruktorów, jest  to również szansa na kształcenie twórczego myślenia oraz wyobraźni przestrzennej, które pozwalają lepiej zrozumieć świat przedmiotów ścisłych.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contextualSpacing/>
        <w:jc w:val="both"/>
        <w:rPr/>
      </w:pPr>
      <w:r>
        <w:rPr>
          <w:rFonts w:cs="Cambria" w:ascii="Cambria" w:hAnsi="Cambria"/>
          <w:sz w:val="24"/>
          <w:szCs w:val="24"/>
        </w:rPr>
        <w:t xml:space="preserve">warsztatów umiejętności społecznych -  uczniowie będą </w:t>
      </w:r>
      <w:r>
        <w:rPr>
          <w:rFonts w:cs="Cambria" w:ascii="Cambria" w:hAnsi="Cambria"/>
          <w:sz w:val="24"/>
          <w:szCs w:val="24"/>
          <w:lang w:val="en"/>
        </w:rPr>
        <w:t>poszerzać repertuar umiejętności społecznych poprzez zabawę i grupowe zadania będą doskonalić umiejętności komunikacyjne, wykorzystać swoje mocne strony we wspólnym działaniu, nauczą się rozwiązywać konflikty i problemy w grupie. Ważnym elementem zajęć będzie poznanie własnych uczuć oraz sposobów radzenia sobie z silnymi emocjami.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76" w:before="0" w:after="0"/>
        <w:contextualSpacing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  <w:t>Dodatkowo  uczniowie  klas I – III wezmą udział w zajęcia kreatywno społecznych – w ramach, których poznają podstawowe kroki taneczne oraz umiejętność kreatywnego przygotowania we własnym zakresie pokazów tanecznych, inscenizacji, imprez szkolnych.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Cambria" w:hAnsi="Cambria" w:cs="Cambria"/>
          <w:i/>
          <w:i/>
          <w:sz w:val="24"/>
          <w:szCs w:val="24"/>
        </w:rPr>
      </w:pPr>
      <w:r>
        <w:rPr>
          <w:rFonts w:cs="Cambria" w:ascii="Cambria" w:hAnsi="Cambria"/>
          <w:i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Cambria" w:hAnsi="Cambria" w:cs="Cambria"/>
          <w:b/>
          <w:b/>
          <w:sz w:val="24"/>
          <w:szCs w:val="24"/>
        </w:rPr>
      </w:pPr>
      <w:r>
        <w:rPr>
          <w:rFonts w:cs="Cambria" w:ascii="Cambria" w:hAnsi="Cambria"/>
          <w:b/>
          <w:sz w:val="24"/>
          <w:szCs w:val="24"/>
        </w:rPr>
        <w:t>Dla  uczniów klas VII - VIII odbędą się zajęcia z :</w:t>
      </w:r>
    </w:p>
    <w:p>
      <w:pPr>
        <w:pStyle w:val="NormalWeb"/>
        <w:numPr>
          <w:ilvl w:val="0"/>
          <w:numId w:val="5"/>
        </w:numPr>
        <w:spacing w:lineRule="auto" w:line="276" w:before="0" w:after="0"/>
        <w:rPr/>
      </w:pPr>
      <w:r>
        <w:rPr>
          <w:rFonts w:cs="Cambria" w:ascii="Cambria" w:hAnsi="Cambria"/>
          <w:sz w:val="24"/>
          <w:szCs w:val="24"/>
        </w:rPr>
        <w:t xml:space="preserve">matematyki – uczniowie będą </w:t>
      </w:r>
      <w:r>
        <w:rPr>
          <w:rFonts w:cs="Cambria" w:ascii="Cambria" w:hAnsi="Cambria"/>
          <w:color w:val="333333"/>
          <w:sz w:val="24"/>
          <w:szCs w:val="24"/>
        </w:rPr>
        <w:t xml:space="preserve"> uczyć się wnioskowania i logicznego myślenia są to niezbędne umiejętności do odkrywania innych dziedzin wiedzy – fizyki, geografii, a nawet przedmiotów humanistycznych .Matematyka to doskonała gimnastyka dla mózgu, a więc i sposób na utrzymanie świetnej kondycji umysłowej. Oprócz tego, dzięki nauce matematyki, ćwiczymy systematyczność oraz wytrwałość podczas rozwiązywania problemów.</w:t>
      </w:r>
    </w:p>
    <w:p>
      <w:pPr>
        <w:pStyle w:val="NormalWeb"/>
        <w:numPr>
          <w:ilvl w:val="0"/>
          <w:numId w:val="5"/>
        </w:numPr>
        <w:spacing w:lineRule="auto" w:line="276" w:before="0" w:after="0"/>
        <w:rPr/>
      </w:pPr>
      <w:r>
        <w:rPr>
          <w:rFonts w:cs="Cambria" w:ascii="Cambria" w:hAnsi="Cambria"/>
          <w:sz w:val="24"/>
          <w:szCs w:val="24"/>
        </w:rPr>
        <w:t>języka niemieckiego – celem ich będzie</w:t>
      </w:r>
      <w:r>
        <w:rPr>
          <w:rFonts w:cs="Cambria" w:ascii="Cambria" w:hAnsi="Cambria"/>
          <w:bCs/>
          <w:sz w:val="24"/>
          <w:szCs w:val="24"/>
        </w:rPr>
        <w:t xml:space="preserve"> wspomaganie rozwoju kompetencji językowych ucznia (słuchania, mówienia, czytania i pisania) oraz rozwijanie ciekawości wobec innych krajów i ich kultur, wdrażanie do czytelnictwa, przygotowywanie do samodzielności w procesie uczenia się języka niemieckiego  i umacnianie wiary we własne możliwości językowe, co zwiększy motywację do nauki.</w:t>
      </w:r>
    </w:p>
    <w:p>
      <w:pPr>
        <w:pStyle w:val="ListParagraph"/>
        <w:numPr>
          <w:ilvl w:val="0"/>
          <w:numId w:val="5"/>
        </w:numPr>
        <w:spacing w:lineRule="auto" w:line="276" w:before="280" w:after="0"/>
        <w:contextualSpacing/>
        <w:jc w:val="both"/>
        <w:textAlignment w:val="top"/>
        <w:rPr/>
      </w:pPr>
      <w:r>
        <w:rPr>
          <w:rFonts w:cs="Cambria" w:ascii="Cambria" w:hAnsi="Cambria"/>
          <w:sz w:val="24"/>
          <w:szCs w:val="24"/>
        </w:rPr>
        <w:t>biologii, chemii i fizyki  - prowadzone będą metodą eksperymentu,</w:t>
      </w:r>
      <w:r>
        <w:rPr>
          <w:rFonts w:eastAsia="Times New Roman" w:cs="Cambria" w:ascii="Cambria" w:hAnsi="Cambria"/>
          <w:bCs/>
          <w:sz w:val="24"/>
          <w:szCs w:val="24"/>
          <w:lang w:eastAsia="pl-PL"/>
        </w:rPr>
        <w:t xml:space="preserve"> która polega na czynnej modyfikacji zjawisk stanowiących przedmiot badania, dążąc do poznawania zależności przyczynowych pomiędzy składnikami lub warunkami przebiegu badanego zjawiska występującego w przyrodzie i rozłożenia go na czynniki fizyczne, chemiczne i biologiczne.</w:t>
      </w:r>
    </w:p>
    <w:p>
      <w:pPr>
        <w:pStyle w:val="ListParagraph"/>
        <w:spacing w:lineRule="auto" w:line="276" w:before="280" w:after="0"/>
        <w:contextualSpacing/>
        <w:jc w:val="both"/>
        <w:textAlignment w:val="top"/>
        <w:rPr>
          <w:rFonts w:ascii="Cambria" w:hAnsi="Cambria" w:eastAsia="Times New Roman" w:cs="Cambria"/>
          <w:sz w:val="24"/>
          <w:szCs w:val="24"/>
          <w:lang w:eastAsia="pl-PL"/>
        </w:rPr>
      </w:pPr>
      <w:r>
        <w:rPr>
          <w:rFonts w:eastAsia="Times New Roman" w:cs="Cambria" w:ascii="Cambria" w:hAnsi="Cambria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Dla wszystkich UP zostaną zakupione pomoce dydaktyczne – książki, ćwiczenia, słowniki, zużywalne materiały do zajęć.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W ramach projektu będzie wykonana adaptacja pomieszczenia, które posłuży  wykonaniu międzyszkolnej  pracowni przyrodniczej, która będzie wyposażona m.in. w dygestorium, materiały dydaktyczne do badań, odczynniki, szkła , obwody elektryczne, modele przyrodnicze, mikroskopy, atlasy, tablice interaktywną ,rzutnik oraz laptop.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Dodatkowo do zajęć zostaną zakupione  pomoce dydaktyczne do wszystkich rodzajów zajęć dla uczniów i dla szkoły ,tablic multimedialna z rzutnikiem i laptopem, magiczny dywan oraz klocki do programowania z laptopami do zajęć tanecznych – stroje.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rPr>
          <w:rFonts w:ascii="Cambria" w:hAnsi="Cambria" w:cs="Cambria"/>
          <w:i w:val="false"/>
          <w:i w:val="false"/>
          <w:iCs w:val="false"/>
          <w:sz w:val="24"/>
          <w:szCs w:val="24"/>
        </w:rPr>
      </w:pPr>
      <w:r>
        <w:rPr>
          <w:rFonts w:cs="Cambria" w:ascii="Cambria" w:hAnsi="Cambria"/>
          <w:i w:val="false"/>
          <w:iCs w:val="false"/>
          <w:sz w:val="24"/>
          <w:szCs w:val="24"/>
        </w:rPr>
        <w:t>Dla Uczestników Projektu zorganizowane zostaną  w czasie wakacji półkolonie.</w:t>
      </w:r>
    </w:p>
    <w:p>
      <w:pPr>
        <w:pStyle w:val="Normal"/>
        <w:spacing w:lineRule="auto" w:line="276" w:before="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0" w:right="0" w:hanging="0"/>
        <w:contextualSpacing/>
        <w:jc w:val="center"/>
        <w:rPr/>
      </w:pPr>
      <w:bookmarkStart w:id="0" w:name="_PictureBullets"/>
      <w:bookmarkEnd w:id="0"/>
      <w:r>
        <w:rPr>
          <w:rFonts w:cs="Cambria" w:ascii="Cambria" w:hAnsi="Cambria"/>
          <w:b/>
          <w:bCs/>
          <w:color w:val="0070C0"/>
          <w:sz w:val="24"/>
          <w:szCs w:val="24"/>
        </w:rPr>
        <w:t xml:space="preserve">Dokumenty rekrutacyjne  będą dostępne w Biurze Projektu od 27.08.2018 r. </w:t>
        <w:b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2" w:top="1417" w:footer="708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Symbol">
    <w:charset w:val="01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eastAsia="Tahoma" w:cs="Tahoma" w:ascii="Tahoma" w:hAnsi="Tahoma"/>
        <w:bCs/>
        <w:sz w:val="16"/>
        <w:szCs w:val="16"/>
      </w:rPr>
      <w:t>„</w:t>
    </w:r>
    <w:r>
      <w:rPr>
        <w:rFonts w:eastAsia="Calibri" w:cs="Tahoma" w:ascii="Tahoma" w:hAnsi="Tahoma"/>
        <w:sz w:val="16"/>
        <w:szCs w:val="16"/>
      </w:rPr>
      <w:t>Kompetencje kluczowe w teorii i praktyce” realizowany przez</w:t>
    </w:r>
    <w:r>
      <w:rPr>
        <w:rFonts w:eastAsia="Calibri" w:cs="Tahoma" w:ascii="Tahoma" w:hAnsi="Tahoma"/>
        <w:b/>
        <w:bCs/>
        <w:sz w:val="16"/>
        <w:szCs w:val="16"/>
      </w:rPr>
      <w:t xml:space="preserve"> </w:t>
    </w:r>
    <w:r>
      <w:rPr>
        <w:rFonts w:eastAsia="Calibri" w:cs="Tahoma" w:ascii="Tahoma" w:hAnsi="Tahoma"/>
        <w:sz w:val="16"/>
        <w:szCs w:val="16"/>
      </w:rPr>
      <w:t xml:space="preserve"> Stowarzyszenie Wiedza i Rozwój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Regionalny Program Operacyjny Województwa Świętokrzyskiego na lata 2014-2020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0" w:right="0" w:hanging="0"/>
      <w:rPr>
        <w:rFonts w:eastAsia="Calibri" w:cs="Calibri"/>
      </w:rPr>
    </w:pPr>
    <w:r>
      <w:rPr>
        <w:rFonts w:eastAsia="Calibri" w:cs="Calibri"/>
      </w:rPr>
      <w:t xml:space="preserve">   </w:t>
    </w:r>
  </w:p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0" w:right="0" w:hanging="0"/>
      <w:rPr>
        <w:rFonts w:eastAsia="Calibri" w:cs="Times New Roman"/>
      </w:rPr>
    </w:pPr>
    <w:r>
      <w:rPr>
        <w:rFonts w:eastAsia="Calibri" w:cs="Times New Roman"/>
      </w:rPr>
    </w:r>
  </w:p>
  <w:tbl>
    <w:tblPr>
      <w:tblW w:w="8980" w:type="dxa"/>
      <w:jc w:val="left"/>
      <w:tblInd w:w="-1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1814"/>
      <w:gridCol w:w="2534"/>
      <w:gridCol w:w="1965"/>
      <w:gridCol w:w="2667"/>
    </w:tblGrid>
    <w:tr>
      <w:trPr/>
      <w:tc>
        <w:tcPr>
          <w:tcW w:w="181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/>
          </w:pPr>
          <w:r>
            <w:rPr/>
            <w:drawing>
              <wp:inline distT="0" distB="0" distL="0" distR="0">
                <wp:extent cx="1028065" cy="43751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409700" cy="437515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tcBorders/>
          <w:shd w:fill="auto" w:val="clear"/>
        </w:tcPr>
        <w:p>
          <w:pPr>
            <w:pStyle w:val="Normal"/>
            <w:spacing w:lineRule="auto" w:line="240" w:before="0" w:after="0"/>
            <w:ind w:left="0" w:right="47" w:hanging="0"/>
            <w:jc w:val="center"/>
            <w:rPr/>
          </w:pPr>
          <w:r>
            <w:rPr/>
            <w:drawing>
              <wp:inline distT="0" distB="0" distL="0" distR="0">
                <wp:extent cx="962025" cy="43751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>
              <w:rFonts w:eastAsia="Calibri" w:cs="Times New Roman"/>
            </w:rPr>
          </w:pPr>
          <w:r>
            <w:rPr/>
            <w:drawing>
              <wp:inline distT="0" distB="0" distL="0" distR="0">
                <wp:extent cx="1629410" cy="437515"/>
                <wp:effectExtent l="0" t="0" r="0" b="0"/>
                <wp:docPr id="4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eastAsia="Calibri" w:cs="Times New Roman"/>
      </w:rPr>
    </w:pPr>
    <w:r>
      <w:rPr>
        <w:rFonts w:eastAsia="Calibri" w:cs="Times New Roman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2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  <w:sz w:val="24"/>
        <w:szCs w:val="24"/>
        <w:rFonts w:cs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  <w:sz w:val="24"/>
        <w:szCs w:val="24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val="e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  <w:rFonts w:cs="Symbol"/>
        <w:lang w:val="e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  <w:rFonts w:cs="Symbol"/>
        <w:lang w:val="e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color w:val="333333"/>
        <w:lang w:eastAsia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  <w:rFonts w:cs="Symbol"/>
        <w:color w:val="333333"/>
        <w:lang w:eastAsia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  <w:rFonts w:cs="Symbol"/>
        <w:color w:val="333333"/>
        <w:lang w:eastAsia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sz w:val="22"/>
      <w:szCs w:val="22"/>
      <w:lang w:val="pl-PL" w:eastAsia="en-US" w:bidi="ar-SA"/>
    </w:rPr>
  </w:style>
  <w:style w:type="character" w:styleId="WW8Num1z0">
    <w:name w:val="WW8Num1z0"/>
    <w:qFormat/>
    <w:rPr>
      <w:rFonts w:ascii="Wingdings" w:hAnsi="Wingdings" w:cs="Wingdings"/>
      <w:sz w:val="18"/>
      <w:szCs w:val="1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4"/>
      <w:szCs w:val="24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val="e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eastAsia="Times New Roman" w:cs="Symbol"/>
      <w:color w:val="333333"/>
      <w:sz w:val="20"/>
      <w:szCs w:val="20"/>
      <w:lang w:eastAsia="pl-P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sz w:val="22"/>
      <w:szCs w:val="22"/>
      <w:lang w:val="pl-PL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2018-09-07T10:15:00Z</dcterms:created>
  <dc:creator>admin</dc:creator>
  <dc:description/>
  <dc:language>pl-PL</dc:language>
  <cp:lastModifiedBy/>
  <dcterms:modified xsi:type="dcterms:W3CDTF">2019-02-11T14:51:02Z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